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Layout w:type="fixed"/>
        <w:tblCellMar>
          <w:left w:type="dxa" w:w="28"/>
          <w:right w:type="dxa" w:w="28"/>
        </w:tblCellMar>
      </w:tblPr>
      <w:tblGrid>
        <w:gridCol w:w="3777"/>
        <w:gridCol w:w="1793"/>
        <w:gridCol w:w="1321"/>
        <w:gridCol w:w="2463"/>
      </w:tblGrid>
      <w:tr>
        <w:trPr>
          <w:trHeight w:hRule="atLeast" w:val="1283"/>
        </w:trPr>
        <w:tc>
          <w:tcPr>
            <w:tcW w:type="dxa" w:w="3777"/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3000000">
            <w:pPr>
              <w:widowControl w:val="1"/>
              <w:ind/>
              <w:jc w:val="center"/>
              <w:rPr>
                <w:rFonts w:ascii="Times Sakha" w:hAnsi="Times Sakha"/>
                <w:b w:val="1"/>
                <w:sz w:val="28"/>
              </w:rPr>
            </w:pPr>
            <w:r>
              <w:rPr>
                <w:rFonts w:ascii="Times Sakha" w:hAnsi="Times Sakha"/>
                <w:b w:val="1"/>
                <w:sz w:val="28"/>
              </w:rPr>
              <w:t>Министерство труда</w:t>
            </w:r>
          </w:p>
          <w:p w14:paraId="04000000">
            <w:pPr>
              <w:widowControl w:val="1"/>
              <w:ind/>
              <w:jc w:val="center"/>
              <w:rPr>
                <w:rFonts w:ascii="Times Sakha" w:hAnsi="Times Sakha"/>
                <w:b w:val="1"/>
                <w:sz w:val="28"/>
              </w:rPr>
            </w:pPr>
            <w:r>
              <w:rPr>
                <w:rFonts w:ascii="Times Sakha" w:hAnsi="Times Sakha"/>
                <w:b w:val="1"/>
                <w:sz w:val="28"/>
              </w:rPr>
              <w:t>и социального развития Республики Саха (Якутия)</w:t>
            </w:r>
          </w:p>
          <w:p w14:paraId="05000000">
            <w:pPr>
              <w:widowControl w:val="1"/>
              <w:ind/>
              <w:rPr>
                <w:rFonts w:ascii="Times Sakha" w:hAnsi="Times Sakha"/>
                <w:b w:val="1"/>
                <w:sz w:val="28"/>
              </w:rPr>
            </w:pPr>
          </w:p>
        </w:tc>
        <w:tc>
          <w:tcPr>
            <w:tcW w:type="dxa" w:w="1793"/>
            <w:tcMar>
              <w:left w:type="dxa" w:w="28"/>
              <w:right w:type="dxa" w:w="28"/>
            </w:tcMar>
          </w:tcPr>
          <w:p w14:paraId="06000000">
            <w:pPr>
              <w:widowControl w:val="1"/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drawing>
                <wp:inline>
                  <wp:extent cx="828675" cy="771525"/>
                  <wp:effectExtent b="0" l="0" r="0" t="0"/>
                  <wp:docPr hidden="false" id="2" name="Picture 2"/>
                  <a:graphic>
                    <a:graphicData uri="http://schemas.openxmlformats.org/drawingml/2006/picture">
                      <pic:pic>
                        <pic:nvPicPr>
                          <pic:cNvPr hidden="false" id="1" name="Picture 1"/>
                          <pic:cNvPicPr preferRelativeResize="true"/>
                        </pic:nvPicPr>
                        <pic:blipFill>
                          <a:blip r:embed="rId3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828675" cy="7715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784"/>
            <w:gridSpan w:val="2"/>
            <w:tcMar>
              <w:left w:type="dxa" w:w="28"/>
              <w:right w:type="dxa" w:w="28"/>
            </w:tcMar>
            <w:vAlign w:val="center"/>
          </w:tcPr>
          <w:p w14:paraId="07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" w:hAnsi="Times Sakha"/>
                <w:b w:val="1"/>
                <w:sz w:val="28"/>
              </w:rPr>
            </w:pPr>
            <w:r>
              <w:rPr>
                <w:rFonts w:ascii="Times Sakha" w:hAnsi="Times Sakha"/>
                <w:b w:val="1"/>
                <w:sz w:val="28"/>
              </w:rPr>
              <w:t>Саха £р³спµµ</w:t>
            </w:r>
            <w:r>
              <w:rPr>
                <w:rFonts w:ascii="Times Sakha" w:hAnsi="Times Sakha"/>
                <w:b w:val="1"/>
                <w:sz w:val="28"/>
              </w:rPr>
              <w:t>бµлµкэтин</w:t>
            </w:r>
            <w:r>
              <w:rPr>
                <w:rFonts w:ascii="Times Sakha" w:hAnsi="Times Sakha"/>
                <w:b w:val="1"/>
                <w:sz w:val="28"/>
              </w:rPr>
              <w:t xml:space="preserve"> </w:t>
            </w:r>
          </w:p>
          <w:p w14:paraId="08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" w:hAnsi="Times Sakha"/>
                <w:b w:val="1"/>
                <w:sz w:val="28"/>
              </w:rPr>
            </w:pPr>
            <w:r>
              <w:rPr>
                <w:rFonts w:ascii="Times Sakha" w:hAnsi="Times Sakha"/>
                <w:b w:val="1"/>
                <w:sz w:val="28"/>
              </w:rPr>
              <w:t>µ</w:t>
            </w:r>
            <w:r>
              <w:rPr>
                <w:rFonts w:ascii="Times Sakha" w:hAnsi="Times Sakha"/>
                <w:b w:val="1"/>
                <w:sz w:val="28"/>
              </w:rPr>
              <w:t>лэ±э</w:t>
            </w:r>
            <w:r>
              <w:rPr>
                <w:rFonts w:ascii="Times Sakha" w:hAnsi="Times Sakha"/>
                <w:b w:val="1"/>
                <w:sz w:val="28"/>
              </w:rPr>
              <w:t xml:space="preserve"> </w:t>
            </w:r>
            <w:r>
              <w:rPr>
                <w:rFonts w:ascii="Times Sakha" w:hAnsi="Times Sakha"/>
                <w:b w:val="1"/>
                <w:sz w:val="28"/>
              </w:rPr>
              <w:t>уонна</w:t>
            </w:r>
            <w:r>
              <w:rPr>
                <w:rFonts w:ascii="Times Sakha" w:hAnsi="Times Sakha"/>
                <w:b w:val="1"/>
                <w:sz w:val="28"/>
              </w:rPr>
              <w:t xml:space="preserve"> </w:t>
            </w:r>
            <w:r>
              <w:rPr>
                <w:rFonts w:ascii="Times Sakha" w:hAnsi="Times Sakha"/>
                <w:b w:val="1"/>
                <w:sz w:val="28"/>
              </w:rPr>
              <w:t>социальнай</w:t>
            </w:r>
          </w:p>
          <w:p w14:paraId="09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" w:hAnsi="Times Sakha"/>
                <w:b w:val="1"/>
                <w:sz w:val="28"/>
              </w:rPr>
            </w:pPr>
            <w:r>
              <w:rPr>
                <w:rFonts w:ascii="Times Sakha" w:hAnsi="Times Sakha"/>
                <w:b w:val="1"/>
                <w:sz w:val="28"/>
              </w:rPr>
              <w:t>сайдыыга</w:t>
            </w:r>
            <w:r>
              <w:rPr>
                <w:rFonts w:ascii="Times Sakha" w:hAnsi="Times Sakha"/>
                <w:b w:val="1"/>
                <w:sz w:val="28"/>
              </w:rPr>
              <w:t xml:space="preserve"> </w:t>
            </w:r>
            <w:r>
              <w:rPr>
                <w:rFonts w:ascii="Times Sakha" w:hAnsi="Times Sakha"/>
                <w:b w:val="1"/>
                <w:sz w:val="28"/>
              </w:rPr>
              <w:t>министиэристибэтэ</w:t>
            </w:r>
          </w:p>
          <w:p w14:paraId="0A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" w:hAnsi="Times Sakha"/>
                <w:b w:val="1"/>
                <w:sz w:val="28"/>
              </w:rPr>
            </w:pPr>
          </w:p>
        </w:tc>
      </w:tr>
      <w:tr>
        <w:trPr>
          <w:trHeight w:hRule="atLeast" w:val="636"/>
        </w:trPr>
        <w:tc>
          <w:tcPr>
            <w:tcW w:type="dxa" w:w="3777"/>
            <w:tcMar>
              <w:left w:type="dxa" w:w="28"/>
              <w:right w:type="dxa" w:w="28"/>
            </w:tcMar>
            <w:vAlign w:val="center"/>
          </w:tcPr>
          <w:p w14:paraId="0B000000">
            <w:pPr>
              <w:widowControl w:val="1"/>
              <w:ind/>
              <w:jc w:val="center"/>
              <w:rPr>
                <w:rFonts w:ascii="Times Sakha" w:hAnsi="Times Sakha"/>
                <w:b w:val="1"/>
                <w:sz w:val="28"/>
              </w:rPr>
            </w:pPr>
          </w:p>
        </w:tc>
        <w:tc>
          <w:tcPr>
            <w:tcW w:type="dxa" w:w="1793"/>
            <w:tcMar>
              <w:left w:type="dxa" w:w="28"/>
              <w:right w:type="dxa" w:w="28"/>
            </w:tcMar>
          </w:tcPr>
          <w:p w14:paraId="0C000000">
            <w:pPr>
              <w:widowControl w:val="1"/>
              <w:ind/>
              <w:jc w:val="center"/>
              <w:rPr>
                <w:b w:val="1"/>
                <w:sz w:val="28"/>
              </w:rPr>
            </w:pPr>
          </w:p>
          <w:p w14:paraId="0D000000">
            <w:pPr>
              <w:widowControl w:val="1"/>
              <w:ind/>
              <w:jc w:val="center"/>
              <w:rPr>
                <w:b w:val="1"/>
                <w:sz w:val="28"/>
              </w:rPr>
            </w:pPr>
            <w:r>
              <w:rPr>
                <w:b w:val="1"/>
                <w:sz w:val="28"/>
              </w:rPr>
              <w:t>ПРИКАЗ</w:t>
            </w:r>
          </w:p>
        </w:tc>
        <w:tc>
          <w:tcPr>
            <w:tcW w:type="dxa" w:w="3784"/>
            <w:gridSpan w:val="2"/>
            <w:tcMar>
              <w:left w:type="dxa" w:w="28"/>
              <w:right w:type="dxa" w:w="28"/>
            </w:tcMar>
            <w:vAlign w:val="center"/>
          </w:tcPr>
          <w:p w14:paraId="0E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" w:hAnsi="Times Sakha"/>
                <w:b w:val="1"/>
                <w:sz w:val="28"/>
              </w:rPr>
            </w:pPr>
          </w:p>
        </w:tc>
      </w:tr>
      <w:tr>
        <w:trPr>
          <w:trHeight w:hRule="atLeast" w:val="406"/>
        </w:trPr>
        <w:tc>
          <w:tcPr>
            <w:tcW w:type="dxa" w:w="3777"/>
            <w:tcMar>
              <w:left w:type="dxa" w:w="28"/>
              <w:right w:type="dxa" w:w="28"/>
            </w:tcMar>
            <w:vAlign w:val="bottom"/>
          </w:tcPr>
          <w:p w14:paraId="0F000000">
            <w:pPr>
              <w:rPr>
                <w:sz w:val="28"/>
                <w:u w:val="single"/>
              </w:rPr>
            </w:pPr>
            <w:bookmarkStart w:id="1" w:name="REGDATESTAMP"/>
            <w:r>
              <w:rPr>
                <w:sz w:val="28"/>
                <w:u w:val="single"/>
              </w:rPr>
              <w:t xml:space="preserve">Место для даты </w:t>
            </w:r>
            <w:r>
              <w:rPr>
                <w:sz w:val="28"/>
                <w:u w:val="single"/>
              </w:rPr>
              <w:t>рег</w:t>
            </w:r>
            <w:bookmarkEnd w:id="1"/>
          </w:p>
        </w:tc>
        <w:tc>
          <w:tcPr>
            <w:tcW w:type="dxa" w:w="1793"/>
            <w:tcMar>
              <w:left w:type="dxa" w:w="28"/>
              <w:right w:type="dxa" w:w="28"/>
            </w:tcMar>
            <w:vAlign w:val="bottom"/>
          </w:tcPr>
          <w:p w14:paraId="10000000">
            <w:pPr>
              <w:widowControl w:val="1"/>
              <w:ind/>
              <w:jc w:val="center"/>
              <w:rPr>
                <w:b w:val="1"/>
                <w:sz w:val="28"/>
              </w:rPr>
            </w:pPr>
          </w:p>
        </w:tc>
        <w:tc>
          <w:tcPr>
            <w:tcW w:type="dxa" w:w="3784"/>
            <w:gridSpan w:val="2"/>
            <w:tcMar>
              <w:left w:type="dxa" w:w="28"/>
              <w:right w:type="dxa" w:w="28"/>
            </w:tcMar>
            <w:vAlign w:val="bottom"/>
          </w:tcPr>
          <w:p w14:paraId="11000000">
            <w:pPr>
              <w:ind/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bookmarkStart w:id="2" w:name="REGNUMSTAMP"/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 </w:t>
            </w:r>
            <w:r>
              <w:rPr>
                <w:sz w:val="28"/>
                <w:u w:val="single"/>
              </w:rPr>
              <w:t xml:space="preserve">[Место </w:t>
            </w:r>
            <w:r>
              <w:rPr>
                <w:sz w:val="28"/>
                <w:u w:val="single"/>
              </w:rPr>
              <w:t>рег</w:t>
            </w:r>
            <w:r>
              <w:rPr>
                <w:sz w:val="28"/>
                <w:u w:val="single"/>
              </w:rPr>
              <w:t xml:space="preserve"> номера]</w:t>
            </w:r>
            <w:bookmarkEnd w:id="2"/>
          </w:p>
        </w:tc>
      </w:tr>
      <w:tr>
        <w:trPr>
          <w:trHeight w:hRule="atLeast" w:val="550"/>
        </w:trPr>
        <w:tc>
          <w:tcPr>
            <w:tcW w:type="dxa" w:w="3777"/>
            <w:tcMar>
              <w:left w:type="dxa" w:w="28"/>
              <w:right w:type="dxa" w:w="28"/>
            </w:tcMar>
            <w:vAlign w:val="center"/>
          </w:tcPr>
          <w:p w14:paraId="12000000">
            <w:pPr>
              <w:widowControl w:val="1"/>
              <w:ind/>
              <w:rPr>
                <w:sz w:val="26"/>
              </w:rPr>
            </w:pPr>
          </w:p>
        </w:tc>
        <w:tc>
          <w:tcPr>
            <w:tcW w:type="dxa" w:w="1793"/>
            <w:tcMar>
              <w:left w:type="dxa" w:w="28"/>
              <w:right w:type="dxa" w:w="28"/>
            </w:tcMar>
          </w:tcPr>
          <w:p w14:paraId="13000000">
            <w:pPr>
              <w:ind/>
              <w:jc w:val="center"/>
              <w:rPr>
                <w:b w:val="1"/>
                <w:sz w:val="28"/>
              </w:rPr>
            </w:pPr>
            <w:r>
              <w:rPr>
                <w:sz w:val="28"/>
              </w:rPr>
              <w:t>г. Якутск</w:t>
            </w:r>
          </w:p>
        </w:tc>
        <w:tc>
          <w:tcPr>
            <w:tcW w:type="dxa" w:w="1321"/>
            <w:tcMar>
              <w:left w:type="dxa" w:w="28"/>
              <w:right w:type="dxa" w:w="28"/>
            </w:tcMar>
            <w:vAlign w:val="center"/>
          </w:tcPr>
          <w:p w14:paraId="14000000">
            <w:pPr>
              <w:keepNext w:val="1"/>
              <w:keepLines w:val="1"/>
              <w:widowControl w:val="1"/>
              <w:ind/>
              <w:jc w:val="right"/>
              <w:outlineLvl w:val="1"/>
              <w:rPr>
                <w:sz w:val="26"/>
              </w:rPr>
            </w:pPr>
          </w:p>
        </w:tc>
        <w:tc>
          <w:tcPr>
            <w:tcW w:type="dxa" w:w="2463"/>
            <w:tcMar>
              <w:left w:type="dxa" w:w="28"/>
              <w:right w:type="dxa" w:w="28"/>
            </w:tcMar>
            <w:vAlign w:val="center"/>
          </w:tcPr>
          <w:p w14:paraId="15000000">
            <w:pPr>
              <w:keepNext w:val="1"/>
              <w:keepLines w:val="1"/>
              <w:widowControl w:val="1"/>
              <w:ind/>
              <w:jc w:val="right"/>
              <w:outlineLvl w:val="1"/>
              <w:rPr>
                <w:sz w:val="26"/>
              </w:rPr>
            </w:pPr>
          </w:p>
        </w:tc>
      </w:tr>
    </w:tbl>
    <w:p w14:paraId="16000000">
      <w:pPr>
        <w:spacing w:after="0" w:line="240" w:lineRule="auto"/>
        <w:ind/>
        <w:jc w:val="center"/>
        <w:rPr>
          <w:rFonts w:ascii="XO Thames" w:hAnsi="XO Thames"/>
          <w:b w:val="1"/>
          <w:sz w:val="28"/>
        </w:rPr>
      </w:pPr>
    </w:p>
    <w:p w14:paraId="17000000">
      <w:pPr>
        <w:spacing w:line="264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 xml:space="preserve">О признании утратившим силу отдельных нормативных </w:t>
      </w:r>
    </w:p>
    <w:p w14:paraId="18000000">
      <w:pPr>
        <w:spacing w:line="264" w:lineRule="auto"/>
        <w:ind/>
        <w:jc w:val="center"/>
        <w:rPr>
          <w:b w:val="1"/>
          <w:sz w:val="28"/>
        </w:rPr>
      </w:pPr>
      <w:r>
        <w:rPr>
          <w:b w:val="1"/>
          <w:sz w:val="28"/>
        </w:rPr>
        <w:t>правовых актов Министерства труда и социального развития Республики Саха (Якутия)</w:t>
      </w:r>
    </w:p>
    <w:p w14:paraId="19000000">
      <w:pPr>
        <w:spacing w:after="0" w:line="240" w:lineRule="auto"/>
        <w:ind w:firstLine="709" w:left="0"/>
        <w:jc w:val="center"/>
        <w:rPr>
          <w:rFonts w:ascii="XO Thames" w:hAnsi="XO Thames"/>
          <w:b w:val="1"/>
          <w:sz w:val="28"/>
        </w:rPr>
      </w:pPr>
    </w:p>
    <w:p w14:paraId="1A000000">
      <w:pPr>
        <w:spacing w:line="276" w:lineRule="auto"/>
        <w:ind w:firstLine="709" w:lef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В соответствии с </w:t>
      </w:r>
      <w:r>
        <w:rPr>
          <w:rFonts w:ascii="XO Thames" w:hAnsi="XO Thames"/>
          <w:sz w:val="28"/>
        </w:rPr>
        <w:t>постановлением Правительства Российской Федерации от 29.12.2022 № 2522 «О внесении изменений в постановление Правительства Российской Федерации от 29 октября 2022 г. № 1933 и признании утратившими силу некоторых актов и отдельных положений некоторых актов Правительства Российской Федерации»</w:t>
      </w:r>
      <w:r>
        <w:rPr>
          <w:rFonts w:ascii="XO Thames" w:hAnsi="XO Thames"/>
          <w:sz w:val="28"/>
        </w:rPr>
        <w:t>,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со</w:t>
      </w:r>
      <w:r>
        <w:rPr>
          <w:rFonts w:ascii="XO Thames" w:hAnsi="XO Thames"/>
          <w:sz w:val="28"/>
        </w:rPr>
        <w:t xml:space="preserve"> статьями 2 </w:t>
      </w:r>
      <w:r>
        <w:rPr>
          <w:rFonts w:ascii="XO Thames" w:hAnsi="XO Thames"/>
          <w:sz w:val="28"/>
        </w:rPr>
        <w:t>Закона Республики Саха (Якутия) от 12.12.2023 2691-З № 57-VII "О внесении изменений в Закон Республики Саха (Якутия) "Об охране семьи, материнства, отцовства и детства в Республике Саха (Якутия)"</w:t>
      </w:r>
      <w:r>
        <w:rPr>
          <w:rFonts w:ascii="XO Thames" w:hAnsi="XO Thames"/>
          <w:sz w:val="28"/>
        </w:rPr>
        <w:t xml:space="preserve"> и признании утратившими силу отдельных законодательных актов (положений законодательных актов) Республики Саха (Якутия)",</w:t>
      </w:r>
      <w:r>
        <w:rPr>
          <w:rFonts w:ascii="XO Thames" w:hAnsi="XO Thames"/>
          <w:sz w:val="28"/>
        </w:rPr>
        <w:t xml:space="preserve"> 5 </w:t>
      </w:r>
      <w:r>
        <w:rPr>
          <w:rFonts w:ascii="XO Thames" w:hAnsi="XO Thames"/>
          <w:sz w:val="28"/>
        </w:rPr>
        <w:t>Закона Республики Саха (Якутия) от 09.12.2022 2557-З № 1025-VI «О ежемесячном пособии в связи с рождением и воспитанием ребенка в Республике Саха (Якутия) и о внесении изменений в отдельные законодательные акты Республики Саха (Якутия)»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и распоряжением Правительства Республики Саха (Якутия) от 06.07.2011 № 689-р «Об утверждении перечней услуг (функций), предоставляемых (осуществляемых) исполнительными органами государственной власти Республики Саха (Якутия), государственными учреждениями и организациями, участвующими в предоставлении государственной услуги, подлежащих включению в Реестр государственных услуг Республики Саха (Якутия)»</w:t>
      </w:r>
      <w:r>
        <w:rPr>
          <w:rFonts w:ascii="XO Thames" w:hAnsi="XO Thames"/>
          <w:sz w:val="28"/>
        </w:rPr>
        <w:t xml:space="preserve">, 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 xml:space="preserve">п р и </w:t>
      </w:r>
      <w:r>
        <w:rPr>
          <w:rFonts w:ascii="XO Thames" w:hAnsi="XO Thames"/>
          <w:sz w:val="28"/>
        </w:rPr>
        <w:t>к</w:t>
      </w:r>
      <w:r>
        <w:rPr>
          <w:rFonts w:ascii="XO Thames" w:hAnsi="XO Thames"/>
          <w:sz w:val="28"/>
        </w:rPr>
        <w:t xml:space="preserve"> а з ы в а ю:</w:t>
      </w:r>
    </w:p>
    <w:p w14:paraId="1B000000">
      <w:pPr>
        <w:spacing w:after="0" w:before="0" w:line="276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>1.</w:t>
      </w:r>
      <w:r>
        <w:rPr>
          <w:rFonts w:ascii="XO Thames" w:hAnsi="XO Thames"/>
          <w:b w:val="0"/>
          <w:sz w:val="28"/>
        </w:rPr>
        <w:t xml:space="preserve"> Признать утратившими силу:</w:t>
      </w:r>
    </w:p>
    <w:p w14:paraId="1C000000">
      <w:pPr>
        <w:spacing w:after="0" w:before="0" w:line="276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 xml:space="preserve">Приказ Министерства труда и социального развития Республики Саха (Якутия) от 13.11.2019 №1334-ОД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«Назначение и выплата ежемесячного пособия на ребенка»; </w:t>
      </w:r>
    </w:p>
    <w:p w14:paraId="1D000000">
      <w:pPr>
        <w:spacing w:after="0" w:before="0" w:line="276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23.06.2020 №40-Н «О внесении изменений в Административный регламент Министерства труда и социального развития Республики Саха (Якутия) по предоставлению государственной услуги «Назначение и выплата ежемесячного пособия на ребенка</w:t>
      </w:r>
      <w:r>
        <w:rPr>
          <w:rFonts w:ascii="XO Thames" w:hAnsi="XO Thames"/>
          <w:sz w:val="28"/>
        </w:rPr>
        <w:t>»;</w:t>
      </w:r>
    </w:p>
    <w:p w14:paraId="1E000000">
      <w:pPr>
        <w:spacing w:after="0" w:before="0" w:line="276" w:lineRule="auto"/>
        <w:ind w:firstLine="709" w:left="0" w:righ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b w:val="0"/>
          <w:sz w:val="28"/>
        </w:rPr>
        <w:t xml:space="preserve">Пункт 15 </w:t>
      </w:r>
      <w:r>
        <w:rPr>
          <w:rFonts w:ascii="XO Thames" w:hAnsi="XO Thames"/>
          <w:sz w:val="28"/>
        </w:rPr>
        <w:t xml:space="preserve">приказа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29.07.2021 №37-Н «О внесении изменений в отдельные нормативные правовые акты 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>»;</w:t>
      </w:r>
    </w:p>
    <w:p w14:paraId="1F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Пункт 1 </w:t>
      </w:r>
      <w:r>
        <w:rPr>
          <w:rFonts w:ascii="XO Thames" w:hAnsi="XO Thames"/>
          <w:sz w:val="28"/>
        </w:rPr>
        <w:t xml:space="preserve">приказа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28.10.2021 №49-Н «О внесении изменений в отдельные нормативные правовые акты 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>»;</w:t>
      </w:r>
    </w:p>
    <w:p w14:paraId="20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Пункт 5 </w:t>
      </w:r>
      <w:r>
        <w:rPr>
          <w:rFonts w:ascii="XO Thames" w:hAnsi="XO Thames"/>
          <w:sz w:val="28"/>
        </w:rPr>
        <w:t xml:space="preserve">приказа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26.09.2023 №46-Н «О внесении изменений в отдельные нормативные правовые акты Министерства труда и социального развития республики Саха (Якутия) и о признании утратившими силу отдельных нормативных правовых актов 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>»</w:t>
      </w:r>
      <w:r>
        <w:rPr>
          <w:rFonts w:ascii="XO Thames" w:hAnsi="XO Thames"/>
          <w:sz w:val="28"/>
        </w:rPr>
        <w:t>;</w:t>
      </w:r>
    </w:p>
    <w:p w14:paraId="21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24.04.2020 №21-Н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«Назначение ежемесячной денежной выплаты на ребенка в возрасте от трех до семи лет включительно в Республике Саха (Якутия)</w:t>
      </w:r>
      <w:r>
        <w:rPr>
          <w:rFonts w:ascii="XO Thames" w:hAnsi="XO Thames"/>
          <w:sz w:val="28"/>
        </w:rPr>
        <w:t>»;</w:t>
      </w:r>
    </w:p>
    <w:p w14:paraId="22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02.12.2020 №98-Н «О внесении изменений в Административный регламент Министерства труда и социального развития Р</w:t>
      </w:r>
      <w:r>
        <w:rPr>
          <w:rFonts w:ascii="XO Thames" w:hAnsi="XO Thames"/>
          <w:sz w:val="28"/>
        </w:rPr>
        <w:t xml:space="preserve">еспублики Саха (Якутия) по предоставлению государственной услуги «Назначение ежемесячной денежной выплаты на ребенка в возрасте от трех до семи лет включительно в Республике Саха (Якутия)», утвержденный приказом Министерства труда и социального развития Республики Саха (Якутия) от 24.04.2020 №21-Н»; </w:t>
      </w:r>
    </w:p>
    <w:p w14:paraId="23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28.04.2021 №22-Н «О внесении изменений в Административный регламент Министерства труда и социального развития Республики Саха (Якутия) по предоставлению государственной услуги «Назначение ежемесячной денежной выплаты на ребенка в возрасте от трех до семи лет включительно в Республике Саха (Якутия)», утвержденный приказом Министерства труда и социального развития Республики Саха (Якутия) от 24.04.2020 №21-Н»;</w:t>
      </w:r>
    </w:p>
    <w:p w14:paraId="24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22.09.2021 №45-Н «О внесении изменений в Административный регламент Министерства труда и социального развития Республики Саха (Якутия) по предоставлению государственной услуги «Назначение ежемесячной денежной выплаты на ребенка в возрасте от трех до семи лет включительно в Республике Саха (Якутия)», утвержденный приказом Министерства труда и социального развития Республики Саха (Якутия) от 24.04.2020 №21-Н»;</w:t>
      </w:r>
    </w:p>
    <w:p w14:paraId="25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29.07.2022 №26-Н «О внесении изменений в приказ Министерства труда и социального развития Республики Саха (Якутия) от 24.04.2020 №21-Н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«Назначение ежемесячной денежной выплаты на ребенка в возрасте от трех до семи лет включительно в Республике Саха (Якутия)».</w:t>
      </w:r>
    </w:p>
    <w:p w14:paraId="26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27.05.2022 №14-Н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«Предоставление ежемесячной денежной выплаты на ребенка в возрасте от восьми до семнадцати лет»;</w:t>
      </w:r>
    </w:p>
    <w:p w14:paraId="27000000">
      <w:pPr>
        <w:widowControl w:val="0"/>
        <w:spacing w:after="0" w:before="0" w:line="276" w:lineRule="auto"/>
        <w:ind w:firstLine="709" w:left="0" w:righ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 xml:space="preserve">Приказ </w:t>
      </w:r>
      <w:r>
        <w:rPr>
          <w:rFonts w:ascii="XO Thames" w:hAnsi="XO Thames"/>
          <w:sz w:val="28"/>
        </w:rPr>
        <w:t>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от 13.05.2021 №25-Н «Об утверждении Административного регламента Министерства труда и социального развития Республики Саха по предоставлению государственной услуги «Назначение ежемесячных компенсационных выплат нетрудоустроенным женщинам, имеющим детей в возрасте до 3 лет, уволенным в связи с ликв</w:t>
      </w:r>
      <w:r>
        <w:rPr>
          <w:rFonts w:ascii="XO Thames" w:hAnsi="XO Thames"/>
          <w:sz w:val="28"/>
        </w:rPr>
        <w:t>ид</w:t>
      </w:r>
      <w:r>
        <w:rPr>
          <w:rFonts w:ascii="XO Thames" w:hAnsi="XO Thames"/>
          <w:sz w:val="28"/>
        </w:rPr>
        <w:t>ацией организаций</w:t>
      </w:r>
      <w:r>
        <w:rPr>
          <w:rFonts w:ascii="XO Thames" w:hAnsi="XO Thames"/>
          <w:sz w:val="28"/>
        </w:rPr>
        <w:t>»</w:t>
      </w:r>
      <w:r>
        <w:rPr>
          <w:rFonts w:ascii="XO Thames" w:hAnsi="XO Thames"/>
          <w:sz w:val="28"/>
        </w:rPr>
        <w:t>.</w:t>
      </w:r>
    </w:p>
    <w:p w14:paraId="28000000">
      <w:pPr>
        <w:widowControl w:val="0"/>
        <w:spacing w:after="0" w:line="276" w:lineRule="auto"/>
        <w:ind w:firstLine="709" w:left="0"/>
        <w:jc w:val="both"/>
        <w:rPr>
          <w:rFonts w:ascii="XO Thames" w:hAnsi="XO Thames"/>
          <w:sz w:val="28"/>
          <w:shd w:fill="FFD821" w:val="clear"/>
        </w:rPr>
      </w:pPr>
      <w:r>
        <w:rPr>
          <w:rFonts w:ascii="XO Thames" w:hAnsi="XO Thames"/>
          <w:sz w:val="28"/>
        </w:rPr>
        <w:t>3. Департаменту демографич</w:t>
      </w:r>
      <w:r>
        <w:rPr>
          <w:rFonts w:ascii="XO Thames" w:hAnsi="XO Thames"/>
          <w:sz w:val="28"/>
        </w:rPr>
        <w:t>еской и семейной политики, опеки и попечительства (Сивцева Е.В.):</w:t>
      </w:r>
    </w:p>
    <w:p w14:paraId="29000000">
      <w:pPr>
        <w:spacing w:line="276" w:lineRule="auto"/>
        <w:ind w:firstLine="709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3.1 не позднее 3 рабочих дней со дня подписания направить настоящий приказ для государственной регистрации в Департамент по государственно-правовым вопросам Администрации Главы Республики Са</w:t>
      </w:r>
      <w:r>
        <w:rPr>
          <w:rFonts w:ascii="XO Thames" w:hAnsi="XO Thames"/>
          <w:sz w:val="28"/>
        </w:rPr>
        <w:t>ха (Якутия) и Правительства Республики Саха (Якутия).</w:t>
      </w:r>
    </w:p>
    <w:p w14:paraId="2A000000">
      <w:pPr>
        <w:spacing w:line="276" w:lineRule="auto"/>
        <w:ind w:firstLine="709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4. Правовому отделу (Владимиров Д.Г.):</w:t>
      </w:r>
    </w:p>
    <w:p w14:paraId="2B000000">
      <w:pPr>
        <w:spacing w:line="276" w:lineRule="auto"/>
        <w:ind w:firstLine="709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4.1. в 7-дневный срок после дня официального опубликования настоящего приказа направить копию в Управление Министерства юстиции Российской Федерации по Республике Саха (Якутия</w:t>
      </w:r>
      <w:r>
        <w:rPr>
          <w:rFonts w:ascii="XO Thames" w:hAnsi="XO Thames"/>
          <w:sz w:val="28"/>
        </w:rPr>
        <w:t>), а также сведения об источнике официального опубликования.</w:t>
      </w:r>
    </w:p>
    <w:p w14:paraId="2C000000">
      <w:pPr>
        <w:spacing w:line="276" w:lineRule="auto"/>
        <w:ind w:firstLine="709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5. Департаменту административной работы, цифровизации и сопровождения государственных услуг (Степанова О.В.) после опубликования приказа:</w:t>
      </w:r>
    </w:p>
    <w:p w14:paraId="2D000000">
      <w:pPr>
        <w:spacing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5.1. разместить приказ на официальном сайте Министерства труда и социального развития Республики Саха (Якутия) после государственной регистрации; </w:t>
      </w:r>
    </w:p>
    <w:p w14:paraId="2E000000">
      <w:pPr>
        <w:spacing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5.2. внести сведения в Реестр государственных и муниципальных услуг (функций) Республики Саха (Якутия) в тече</w:t>
      </w:r>
      <w:r>
        <w:rPr>
          <w:rFonts w:ascii="XO Thames" w:hAnsi="XO Thames"/>
          <w:sz w:val="28"/>
        </w:rPr>
        <w:t>ние 10 рабочих дней со дня официального опубликования.</w:t>
      </w:r>
    </w:p>
    <w:p w14:paraId="2F000000">
      <w:pPr>
        <w:spacing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6. Контроль исполнения настоящего приказа возложить на заместителя министра труда и социального развития Республики Саха (Якутия) Теплякову Е.Ю.</w:t>
      </w:r>
    </w:p>
    <w:p w14:paraId="30000000">
      <w:pPr>
        <w:spacing w:line="276" w:lineRule="auto"/>
        <w:ind/>
        <w:rPr>
          <w:sz w:val="28"/>
        </w:rPr>
      </w:pPr>
      <w:r>
        <w:rPr>
          <w:sz w:val="28"/>
        </w:rPr>
        <w:t xml:space="preserve"> </w:t>
      </w:r>
    </w:p>
    <w:p w14:paraId="31000000">
      <w:pPr>
        <w:spacing w:line="276" w:lineRule="auto"/>
        <w:ind/>
        <w:rPr>
          <w:sz w:val="28"/>
        </w:rPr>
      </w:pPr>
    </w:p>
    <w:p w14:paraId="32000000">
      <w:pPr>
        <w:spacing w:line="276" w:lineRule="auto"/>
        <w:ind/>
        <w:rPr>
          <w:sz w:val="28"/>
        </w:rPr>
      </w:pPr>
    </w:p>
    <w:tbl>
      <w:tblPr>
        <w:tblStyle w:val="Style_1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861"/>
        <w:gridCol w:w="3798"/>
        <w:gridCol w:w="2696"/>
      </w:tblGrid>
      <w:tr>
        <w:tc>
          <w:tcPr>
            <w:tcW w:type="dxa" w:w="286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Министр</w:t>
            </w:r>
          </w:p>
        </w:tc>
        <w:tc>
          <w:tcPr>
            <w:tcW w:type="dxa" w:w="3798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spacing w:line="276" w:lineRule="auto"/>
              <w:ind/>
              <w:jc w:val="center"/>
              <w:rPr>
                <w:b w:val="1"/>
                <w:sz w:val="28"/>
              </w:rPr>
            </w:pPr>
            <w:r>
              <w:drawing>
                <wp:inline>
                  <wp:extent cx="2201313" cy="943610"/>
                  <wp:effectExtent b="0" l="0" r="0" t="0"/>
                  <wp:docPr hidden="false" id="4" name="Picture 4"/>
                  <a:graphic>
                    <a:graphicData uri="http://schemas.openxmlformats.org/drawingml/2006/picture">
                      <pic:pic>
                        <pic:nvPicPr>
                          <pic:cNvPr hidden="false" id="3" name="Picture 3"/>
                          <pic:cNvPicPr preferRelativeResize="true"/>
                        </pic:nvPicPr>
                        <pic:blipFill>
                          <a:blip r:embed="rId4"/>
                          <a:stretch/>
                        </pic:blipFill>
                        <pic:spPr>
                          <a:xfrm flipH="false" flipV="false" rot="0">
                            <a:ext cx="2201313" cy="9436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96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5000000">
            <w:pPr>
              <w:spacing w:line="276" w:lineRule="auto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Е.А. Волкова</w:t>
            </w:r>
          </w:p>
        </w:tc>
      </w:tr>
      <w:tr>
        <w:trPr>
          <w:trHeight w:hRule="atLeast" w:val="633"/>
        </w:trPr>
        <w:tc>
          <w:tcPr>
            <w:tcW w:type="dxa" w:w="9355"/>
            <w:gridSpan w:val="3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keepNext w:val="1"/>
              <w:spacing w:after="0" w:line="276" w:lineRule="auto"/>
              <w:ind/>
              <w:jc w:val="center"/>
              <w:rPr>
                <w:rFonts w:ascii="Times New Roman" w:hAnsi="Times New Roman"/>
                <w:i w:val="1"/>
                <w:sz w:val="20"/>
              </w:rPr>
            </w:pPr>
            <w:r>
              <w:rPr>
                <w:rFonts w:ascii="Times New Roman" w:hAnsi="Times New Roman"/>
                <w:i w:val="1"/>
                <w:sz w:val="20"/>
              </w:rPr>
              <w:t>(Документ создан в электронной форме в Министерстве труда и</w:t>
            </w:r>
          </w:p>
          <w:p w14:paraId="37000000">
            <w:pPr>
              <w:spacing w:after="0" w:line="276" w:lineRule="auto"/>
              <w:ind/>
              <w:jc w:val="center"/>
              <w:rPr>
                <w:b w:val="1"/>
                <w:sz w:val="28"/>
              </w:rPr>
            </w:pPr>
            <w:r>
              <w:rPr>
                <w:rFonts w:ascii="Times New Roman" w:hAnsi="Times New Roman"/>
                <w:i w:val="1"/>
                <w:sz w:val="20"/>
              </w:rPr>
              <w:t>социального развития Республики Саха (Якутия))</w:t>
            </w:r>
          </w:p>
        </w:tc>
      </w:tr>
    </w:tbl>
    <w:p w14:paraId="38000000">
      <w:pPr>
        <w:ind/>
        <w:jc w:val="both"/>
        <w:rPr>
          <w:sz w:val="28"/>
        </w:rPr>
      </w:pPr>
    </w:p>
    <w:p w14:paraId="39000000">
      <w:pPr>
        <w:ind/>
        <w:jc w:val="both"/>
        <w:rPr>
          <w:sz w:val="28"/>
        </w:rPr>
      </w:pPr>
    </w:p>
    <w:p w14:paraId="3A000000">
      <w:pPr>
        <w:ind/>
        <w:jc w:val="both"/>
        <w:rPr>
          <w:sz w:val="28"/>
        </w:rPr>
      </w:pPr>
    </w:p>
    <w:p w14:paraId="3B000000">
      <w:pPr>
        <w:ind/>
        <w:jc w:val="both"/>
        <w:rPr>
          <w:sz w:val="28"/>
        </w:rPr>
      </w:pPr>
    </w:p>
    <w:p w14:paraId="3C000000">
      <w:pPr>
        <w:ind/>
        <w:jc w:val="both"/>
        <w:rPr>
          <w:sz w:val="28"/>
        </w:rPr>
      </w:pPr>
    </w:p>
    <w:p w14:paraId="3D000000">
      <w:pPr>
        <w:ind/>
        <w:jc w:val="both"/>
        <w:rPr>
          <w:sz w:val="28"/>
        </w:rPr>
      </w:pPr>
    </w:p>
    <w:p w14:paraId="3E000000">
      <w:pPr>
        <w:ind/>
        <w:jc w:val="both"/>
        <w:rPr>
          <w:sz w:val="28"/>
        </w:rPr>
      </w:pPr>
    </w:p>
    <w:p w14:paraId="3F000000">
      <w:pPr>
        <w:ind/>
        <w:jc w:val="both"/>
        <w:rPr>
          <w:sz w:val="28"/>
        </w:rPr>
      </w:pPr>
    </w:p>
    <w:p w14:paraId="40000000">
      <w:pPr>
        <w:ind/>
        <w:jc w:val="both"/>
        <w:rPr>
          <w:sz w:val="28"/>
        </w:rPr>
      </w:pPr>
    </w:p>
    <w:p w14:paraId="41000000">
      <w:pPr>
        <w:ind/>
        <w:jc w:val="both"/>
        <w:rPr>
          <w:sz w:val="28"/>
        </w:rPr>
      </w:pPr>
    </w:p>
    <w:p w14:paraId="42000000">
      <w:pPr>
        <w:ind/>
        <w:jc w:val="both"/>
        <w:rPr>
          <w:sz w:val="28"/>
        </w:rPr>
      </w:pPr>
    </w:p>
    <w:p w14:paraId="43000000">
      <w:pPr>
        <w:ind/>
        <w:jc w:val="both"/>
        <w:rPr>
          <w:sz w:val="28"/>
        </w:rPr>
      </w:pPr>
    </w:p>
    <w:p w14:paraId="44000000">
      <w:pPr>
        <w:ind/>
        <w:jc w:val="both"/>
        <w:rPr>
          <w:sz w:val="28"/>
        </w:rPr>
      </w:pPr>
    </w:p>
    <w:p w14:paraId="45000000">
      <w:pPr>
        <w:ind/>
        <w:jc w:val="both"/>
        <w:rPr>
          <w:sz w:val="28"/>
        </w:rPr>
      </w:pPr>
    </w:p>
    <w:p w14:paraId="46000000">
      <w:pPr>
        <w:ind/>
        <w:jc w:val="both"/>
        <w:rPr>
          <w:sz w:val="28"/>
        </w:rPr>
      </w:pPr>
    </w:p>
    <w:p w14:paraId="47000000">
      <w:pPr>
        <w:ind/>
        <w:jc w:val="both"/>
        <w:rPr>
          <w:sz w:val="28"/>
        </w:rPr>
      </w:pPr>
    </w:p>
    <w:p w14:paraId="48000000">
      <w:pPr>
        <w:ind/>
        <w:jc w:val="both"/>
        <w:rPr>
          <w:sz w:val="28"/>
        </w:rPr>
      </w:pPr>
    </w:p>
    <w:p w14:paraId="49000000">
      <w:pPr>
        <w:ind/>
        <w:jc w:val="both"/>
        <w:rPr>
          <w:sz w:val="28"/>
        </w:rPr>
      </w:pPr>
    </w:p>
    <w:p w14:paraId="4A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ПОЯСНИТЕЛЬНАЯ ЗАПИСКА </w:t>
      </w:r>
    </w:p>
    <w:p w14:paraId="4B000000">
      <w:pPr>
        <w:widowControl w:val="0"/>
        <w:spacing w:after="0" w:line="240" w:lineRule="auto"/>
        <w:ind/>
        <w:jc w:val="center"/>
        <w:rPr>
          <w:rFonts w:ascii="XO Thames" w:hAnsi="XO Thames"/>
          <w:b w:val="0"/>
          <w:sz w:val="28"/>
        </w:rPr>
      </w:pPr>
      <w:r>
        <w:rPr>
          <w:rFonts w:ascii="Times New Roman" w:hAnsi="Times New Roman"/>
          <w:b w:val="0"/>
          <w:spacing w:val="20"/>
          <w:sz w:val="28"/>
        </w:rPr>
        <w:t>к</w:t>
      </w:r>
      <w:r>
        <w:rPr>
          <w:rFonts w:ascii="Times New Roman" w:hAnsi="Times New Roman"/>
          <w:b w:val="0"/>
          <w:spacing w:val="20"/>
          <w:sz w:val="28"/>
        </w:rPr>
        <w:t xml:space="preserve"> проекту приказа</w:t>
      </w:r>
      <w:r>
        <w:rPr>
          <w:rFonts w:ascii="XO Thames" w:hAnsi="XO Thames"/>
          <w:b w:val="0"/>
          <w:spacing w:val="20"/>
          <w:sz w:val="28"/>
        </w:rPr>
        <w:t xml:space="preserve"> «</w:t>
      </w:r>
      <w:r>
        <w:rPr>
          <w:rFonts w:ascii="XO Thames" w:hAnsi="XO Thames"/>
          <w:b w:val="0"/>
          <w:sz w:val="28"/>
        </w:rPr>
        <w:t xml:space="preserve">О признании утратившим силу отдельных нормативных </w:t>
      </w:r>
      <w:r>
        <w:rPr>
          <w:rFonts w:ascii="XO Thames" w:hAnsi="XO Thames"/>
          <w:b w:val="0"/>
          <w:sz w:val="28"/>
        </w:rPr>
        <w:t>правовых актов Министерства труда и социального развития Республики Саха (Якутия)</w:t>
      </w:r>
      <w:r>
        <w:rPr>
          <w:rFonts w:ascii="XO Thames" w:hAnsi="XO Thames"/>
          <w:b w:val="0"/>
          <w:spacing w:val="20"/>
          <w:sz w:val="28"/>
        </w:rPr>
        <w:t>»</w:t>
      </w:r>
    </w:p>
    <w:p w14:paraId="4C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4D000000">
      <w:pPr>
        <w:widowControl w:val="0"/>
        <w:spacing w:after="0" w:line="276" w:lineRule="auto"/>
        <w:ind w:firstLine="0" w:left="709"/>
        <w:jc w:val="left"/>
        <w:rPr>
          <w:rFonts w:ascii="XO Thames" w:hAnsi="XO Thames"/>
          <w:sz w:val="28"/>
        </w:rPr>
      </w:pPr>
      <w:r>
        <w:rPr>
          <w:rFonts w:ascii="XO Thames" w:hAnsi="XO Thames"/>
          <w:b w:val="1"/>
          <w:sz w:val="28"/>
        </w:rPr>
        <w:t xml:space="preserve">Правовое обоснование необходимости принятия акта: </w:t>
      </w:r>
    </w:p>
    <w:p w14:paraId="4E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>Проект приказа Министерства труда и социального развития Республики Саха (Якутия) (далее – Министерство)</w:t>
      </w:r>
      <w:r>
        <w:rPr>
          <w:rFonts w:ascii="XO Thames" w:hAnsi="XO Thames"/>
          <w:b w:val="0"/>
          <w:sz w:val="28"/>
        </w:rPr>
        <w:t xml:space="preserve"> «</w:t>
      </w:r>
      <w:r>
        <w:rPr>
          <w:rFonts w:ascii="XO Thames" w:hAnsi="XO Thames"/>
          <w:b w:val="0"/>
          <w:sz w:val="28"/>
        </w:rPr>
        <w:t xml:space="preserve">О признании утратившим силу отдельных нормативных </w:t>
      </w:r>
      <w:r>
        <w:rPr>
          <w:rFonts w:ascii="XO Thames" w:hAnsi="XO Thames"/>
          <w:b w:val="0"/>
          <w:sz w:val="28"/>
        </w:rPr>
        <w:t>правовых актов Министерства труда и социального развития Республики Саха (Якутия)</w:t>
      </w:r>
      <w:r>
        <w:rPr>
          <w:rFonts w:ascii="XO Thames" w:hAnsi="XO Thames"/>
          <w:b w:val="0"/>
          <w:sz w:val="28"/>
        </w:rPr>
        <w:t>»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 xml:space="preserve">разработан в целях реализации 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постановления Правительства Российской Федерации от 29.12.2022 № 2522 «О внесении изменений в постановление Правительства Российской Федерации от 29 октября 2022 г. № 1933 и признании утратившими силу некоторых актов и отдельных положений некоторых актов Правительства Российской Федерации»,  статьей 2 Закона Республики Саха (Якутия) от 12.12.2023 2691-З № 57-VII "О внесении изменений в Закон Республики Саха (Якутия) "Об охране семьи, материнства, отцовства и детства в Республике Саха (Якутия)" и признании утратившими силу отдельных законодательных актов (положений законодательных актов) Республики Саха (Якутия)", 5 Закона Республики Саха (Якутия) от 09.12.2022 2557-З № 1025-VI «О ежемесячном пособии в связи с рождением и воспитанием ребенка в Республике Саха (Якутия) и о внесении изменений в отдельные законодательные акты Республики Саха (Якутия)» и распоряжения Правительства Республики Саха (Якутия) от 06.07.2011 № 689-р «Об утверждении перечней услуг (функций), предоставляемых (осуществляемых) исполнительными органами государственной власти Республики Саха (Якутия), государственными учреждениями и организациями, участвующими в предоставлении государственной услуги, подлежащих включению в Реестр государственных услуг Республики Саха (Якутия)»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>в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 xml:space="preserve">соответствии с действующим федеральным законодательством в сфере предоставления государственных и муниципальных услуг. </w:t>
      </w:r>
    </w:p>
    <w:p w14:paraId="4F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 xml:space="preserve">Цели, задачи и предмет правового регулирования акта: </w:t>
      </w:r>
    </w:p>
    <w:p w14:paraId="50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 xml:space="preserve">Признание Административных регламентов, устанавливающих порядок и </w:t>
      </w:r>
      <w:r>
        <w:rPr>
          <w:rFonts w:ascii="XO Thames" w:hAnsi="XO Thames"/>
          <w:sz w:val="28"/>
        </w:rPr>
        <w:t>стандарт предоставления государственных</w:t>
      </w:r>
      <w:r>
        <w:rPr>
          <w:rFonts w:ascii="XO Thames" w:hAnsi="XO Thames"/>
          <w:sz w:val="28"/>
        </w:rPr>
        <w:t xml:space="preserve"> услуг</w:t>
      </w:r>
      <w:r>
        <w:rPr>
          <w:rFonts w:ascii="XO Thames" w:hAnsi="XO Thames"/>
          <w:b w:val="0"/>
          <w:sz w:val="28"/>
        </w:rPr>
        <w:t>: «</w:t>
      </w:r>
      <w:r>
        <w:rPr>
          <w:rFonts w:ascii="XO Thames" w:hAnsi="XO Thames"/>
          <w:sz w:val="28"/>
        </w:rPr>
        <w:t>Назначение и выплата ежемесячного пособия на ребенка</w:t>
      </w:r>
      <w:r>
        <w:rPr>
          <w:rFonts w:ascii="XO Thames" w:hAnsi="XO Thames"/>
          <w:b w:val="0"/>
          <w:sz w:val="28"/>
        </w:rPr>
        <w:t>», «</w:t>
      </w:r>
      <w:r>
        <w:rPr>
          <w:rFonts w:ascii="XO Thames" w:hAnsi="XO Thames"/>
          <w:sz w:val="28"/>
        </w:rPr>
        <w:t>Назначение ежемесячной денежной выплаты на ребенка в возрасте от трех до семи лет включительно в Республике Саха (Якутия)</w:t>
      </w:r>
      <w:r>
        <w:rPr>
          <w:rFonts w:ascii="XO Thames" w:hAnsi="XO Thames"/>
          <w:b w:val="0"/>
          <w:sz w:val="28"/>
        </w:rPr>
        <w:t>», «</w:t>
      </w:r>
      <w:r>
        <w:rPr>
          <w:rFonts w:ascii="XO Thames" w:hAnsi="XO Thames"/>
          <w:sz w:val="28"/>
        </w:rPr>
        <w:t>Предоставление ежемесячной денежной выплаты на ребенка в возрасте от восьми до семнадцати лет</w:t>
      </w:r>
      <w:r>
        <w:rPr>
          <w:rFonts w:ascii="XO Thames" w:hAnsi="XO Thames"/>
          <w:b w:val="0"/>
          <w:sz w:val="28"/>
        </w:rPr>
        <w:t>», «</w:t>
      </w:r>
      <w:r>
        <w:rPr>
          <w:rFonts w:ascii="XO Thames" w:hAnsi="XO Thames"/>
          <w:sz w:val="28"/>
        </w:rPr>
        <w:t>Назначение ежемесячных компенсационных выплат нетрудоустроенным женщинам, имеющим детей в возрасте до 3 лет, уволенным в связи с ликвид</w:t>
      </w:r>
      <w:r>
        <w:rPr>
          <w:rFonts w:ascii="XO Thames" w:hAnsi="XO Thames"/>
          <w:sz w:val="28"/>
        </w:rPr>
        <w:t>ацией организаций</w:t>
      </w:r>
      <w:r>
        <w:rPr>
          <w:rFonts w:ascii="XO Thames" w:hAnsi="XO Thames"/>
          <w:b w:val="0"/>
          <w:sz w:val="28"/>
        </w:rPr>
        <w:t>»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 xml:space="preserve">(далее – </w:t>
      </w:r>
      <w:r>
        <w:rPr>
          <w:rFonts w:ascii="XO Thames" w:hAnsi="XO Thames"/>
          <w:b w:val="0"/>
          <w:sz w:val="28"/>
        </w:rPr>
        <w:t>адмрегламенты, государственные услуги</w:t>
      </w:r>
      <w:r>
        <w:rPr>
          <w:rFonts w:ascii="XO Thames" w:hAnsi="XO Thames"/>
          <w:b w:val="0"/>
          <w:sz w:val="28"/>
        </w:rPr>
        <w:t>), утратившими силу.</w:t>
      </w:r>
    </w:p>
    <w:p w14:paraId="51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 xml:space="preserve">Структура проекта: </w:t>
      </w:r>
    </w:p>
    <w:p w14:paraId="52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Проект приказа Министерства состоит из преамбулы и 6</w:t>
      </w:r>
      <w:r>
        <w:rPr>
          <w:rFonts w:ascii="XO Thames" w:hAnsi="XO Thames"/>
          <w:sz w:val="28"/>
        </w:rPr>
        <w:t xml:space="preserve"> пунктов.</w:t>
      </w:r>
    </w:p>
    <w:p w14:paraId="53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 xml:space="preserve">Прогноз ожидаемых социально-экономических последствий: </w:t>
      </w:r>
    </w:p>
    <w:p w14:paraId="54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strike w:val="0"/>
          <w:sz w:val="28"/>
        </w:rPr>
      </w:pPr>
      <w:r>
        <w:rPr>
          <w:rFonts w:ascii="XO Thames" w:hAnsi="XO Thames"/>
          <w:b w:val="0"/>
          <w:strike w:val="0"/>
          <w:sz w:val="28"/>
        </w:rPr>
        <w:t xml:space="preserve">Государственные услуги </w:t>
      </w:r>
      <w:r>
        <w:rPr>
          <w:rFonts w:ascii="XO Thames" w:hAnsi="XO Thames"/>
          <w:b w:val="0"/>
          <w:sz w:val="28"/>
        </w:rPr>
        <w:t xml:space="preserve"> «</w:t>
      </w:r>
      <w:r>
        <w:rPr>
          <w:rFonts w:ascii="XO Thames" w:hAnsi="XO Thames"/>
          <w:sz w:val="28"/>
        </w:rPr>
        <w:t>Назначение и выплата ежемесячного пособия на ребенка</w:t>
      </w:r>
      <w:r>
        <w:rPr>
          <w:rFonts w:ascii="XO Thames" w:hAnsi="XO Thames"/>
          <w:b w:val="0"/>
          <w:sz w:val="28"/>
        </w:rPr>
        <w:t>», «</w:t>
      </w:r>
      <w:r>
        <w:rPr>
          <w:rFonts w:ascii="XO Thames" w:hAnsi="XO Thames"/>
          <w:sz w:val="28"/>
        </w:rPr>
        <w:t>Назначение ежемесячной денежной выплаты на ребенка в возрасте от трех до семи лет включительно в Республике Саха (Якутия)</w:t>
      </w:r>
      <w:r>
        <w:rPr>
          <w:rFonts w:ascii="XO Thames" w:hAnsi="XO Thames"/>
          <w:b w:val="0"/>
          <w:sz w:val="28"/>
        </w:rPr>
        <w:t>»</w:t>
      </w:r>
      <w:r>
        <w:rPr>
          <w:rFonts w:ascii="XO Thames" w:hAnsi="XO Thames"/>
          <w:b w:val="0"/>
          <w:strike w:val="0"/>
          <w:sz w:val="28"/>
        </w:rPr>
        <w:t xml:space="preserve"> </w:t>
      </w:r>
      <w:r>
        <w:rPr>
          <w:rFonts w:ascii="XO Thames" w:hAnsi="XO Thames"/>
          <w:strike w:val="0"/>
          <w:sz w:val="28"/>
        </w:rPr>
        <w:t xml:space="preserve">не </w:t>
      </w:r>
      <w:r>
        <w:rPr>
          <w:rFonts w:ascii="XO Thames" w:hAnsi="XO Thames"/>
          <w:strike w:val="0"/>
          <w:sz w:val="28"/>
        </w:rPr>
        <w:t>будут оказываться</w:t>
      </w:r>
      <w:r>
        <w:rPr>
          <w:rFonts w:ascii="XO Thames" w:hAnsi="XO Thames"/>
          <w:strike w:val="0"/>
          <w:sz w:val="28"/>
        </w:rPr>
        <w:t xml:space="preserve"> </w:t>
      </w:r>
      <w:r>
        <w:rPr>
          <w:rFonts w:ascii="XO Thames" w:hAnsi="XO Thames"/>
          <w:strike w:val="0"/>
          <w:sz w:val="28"/>
        </w:rPr>
        <w:t>Управлениями</w:t>
      </w:r>
      <w:r>
        <w:rPr>
          <w:rFonts w:ascii="XO Thames" w:hAnsi="XO Thames"/>
          <w:strike w:val="0"/>
          <w:sz w:val="28"/>
        </w:rPr>
        <w:t xml:space="preserve"> социальной защиты населения и труда при Министерстве труда и социального развития Республики Саха (Якутия) с 01.01.2024 г.</w:t>
      </w:r>
    </w:p>
    <w:p w14:paraId="55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strike w:val="0"/>
          <w:sz w:val="28"/>
        </w:rPr>
      </w:pPr>
      <w:r>
        <w:rPr>
          <w:rFonts w:ascii="XO Thames" w:hAnsi="XO Thames"/>
          <w:strike w:val="0"/>
          <w:sz w:val="28"/>
        </w:rPr>
        <w:t>Государственные услуги «</w:t>
      </w:r>
      <w:r>
        <w:rPr>
          <w:rFonts w:ascii="XO Thames" w:hAnsi="XO Thames"/>
          <w:sz w:val="28"/>
        </w:rPr>
        <w:t>Предоставление ежемесячной денежной выплаты на ребенка в возрасте от восьми до семнадцати лет</w:t>
      </w:r>
      <w:r>
        <w:rPr>
          <w:rFonts w:ascii="XO Thames" w:hAnsi="XO Thames"/>
          <w:strike w:val="0"/>
          <w:sz w:val="28"/>
        </w:rPr>
        <w:t>», «</w:t>
      </w:r>
      <w:r>
        <w:rPr>
          <w:rFonts w:ascii="XO Thames" w:hAnsi="XO Thames"/>
          <w:sz w:val="28"/>
        </w:rPr>
        <w:t>Назначение ежемесячных компенсационных выплат нетрудоустроенным женщинам, имеющим детей в возрасте до 3 лет, уволенным в связи с ликвид</w:t>
      </w:r>
      <w:r>
        <w:rPr>
          <w:rFonts w:ascii="XO Thames" w:hAnsi="XO Thames"/>
          <w:sz w:val="28"/>
        </w:rPr>
        <w:t>ацией организаций</w:t>
      </w:r>
      <w:r>
        <w:rPr>
          <w:rFonts w:ascii="XO Thames" w:hAnsi="XO Thames"/>
          <w:strike w:val="0"/>
          <w:sz w:val="28"/>
        </w:rPr>
        <w:t>»</w:t>
      </w:r>
      <w:r>
        <w:rPr>
          <w:rFonts w:ascii="Times New Roman" w:hAnsi="Times New Roman"/>
          <w:sz w:val="28"/>
        </w:rPr>
        <w:t xml:space="preserve"> не будут оказываться </w:t>
      </w:r>
      <w:r>
        <w:rPr>
          <w:rFonts w:ascii="XO Thames" w:hAnsi="XO Thames"/>
          <w:sz w:val="28"/>
        </w:rPr>
        <w:t>Фондом пенсионного и социального страхования Российской Федерации  по Республике Саха (Якутия) с 01.01.2024 г</w:t>
      </w:r>
      <w:r>
        <w:rPr>
          <w:rFonts w:ascii="XO Thames" w:hAnsi="XO Thames"/>
          <w:strike w:val="0"/>
          <w:sz w:val="28"/>
        </w:rPr>
        <w:t>.</w:t>
      </w:r>
    </w:p>
    <w:p w14:paraId="56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>Правовые акты, в которые вносятся изменения или п</w:t>
      </w:r>
      <w:r>
        <w:rPr>
          <w:rFonts w:ascii="XO Thames" w:hAnsi="XO Thames"/>
          <w:b w:val="1"/>
          <w:sz w:val="28"/>
        </w:rPr>
        <w:t xml:space="preserve">редполагается внести изменения: </w:t>
      </w:r>
    </w:p>
    <w:p w14:paraId="57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Принятие Проекта не потребует внесения изменений в нормативно-правовые акты.</w:t>
      </w:r>
    </w:p>
    <w:p w14:paraId="58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 xml:space="preserve">Источник финансирования: </w:t>
      </w:r>
    </w:p>
    <w:p w14:paraId="59000000">
      <w:pPr>
        <w:widowControl w:val="0"/>
        <w:tabs>
          <w:tab w:leader="none" w:pos="142" w:val="left"/>
        </w:tabs>
        <w:spacing w:after="0" w:line="276" w:lineRule="auto"/>
        <w:ind w:firstLine="709" w:left="0"/>
        <w:contextualSpacing w:val="1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Принятие Проекта не потребует дополнительных расходов государственного бюджета Республики Саха (Якутия).</w:t>
      </w:r>
    </w:p>
    <w:p w14:paraId="5A000000">
      <w:pPr>
        <w:spacing w:after="0" w:line="276" w:lineRule="auto"/>
        <w:ind w:firstLine="708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С целью проведения независимой экспертизы проект приказа Министерства труда и социального развития Республики Саха (Якутия)</w:t>
      </w:r>
      <w:r>
        <w:rPr>
          <w:rFonts w:ascii="XO Thames" w:hAnsi="XO Thames"/>
          <w:b w:val="0"/>
          <w:sz w:val="28"/>
        </w:rPr>
        <w:t xml:space="preserve"> «</w:t>
      </w:r>
      <w:r>
        <w:rPr>
          <w:rFonts w:ascii="XO Thames" w:hAnsi="XO Thames"/>
          <w:b w:val="0"/>
          <w:sz w:val="28"/>
        </w:rPr>
        <w:t>О внесении изменений в отдельные нормативные правовые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>акты Министерства труда и социального развития</w:t>
      </w:r>
      <w:r>
        <w:rPr>
          <w:rFonts w:ascii="XO Thames" w:hAnsi="XO Thames"/>
          <w:b w:val="0"/>
          <w:sz w:val="28"/>
        </w:rPr>
        <w:t xml:space="preserve"> </w:t>
      </w:r>
      <w:r>
        <w:rPr>
          <w:rFonts w:ascii="XO Thames" w:hAnsi="XO Thames"/>
          <w:b w:val="0"/>
          <w:sz w:val="28"/>
        </w:rPr>
        <w:t>Республики Саха (Якутия)</w:t>
      </w:r>
      <w:r>
        <w:rPr>
          <w:rFonts w:ascii="XO Thames" w:hAnsi="XO Thames"/>
          <w:b w:val="0"/>
          <w:sz w:val="28"/>
        </w:rPr>
        <w:t>»</w:t>
      </w:r>
      <w:r>
        <w:rPr>
          <w:rFonts w:ascii="XO Thames" w:hAnsi="XO Thames"/>
          <w:b w:val="0"/>
          <w:sz w:val="28"/>
        </w:rPr>
        <w:t xml:space="preserve"> б</w:t>
      </w:r>
      <w:r>
        <w:rPr>
          <w:rFonts w:ascii="XO Thames" w:hAnsi="XO Thames"/>
          <w:sz w:val="28"/>
        </w:rPr>
        <w:t>ыл размещен на официальном сайте Министерства труда и социального развития Республики Саха (Якутия)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 xml:space="preserve">с 18 декабря 2023 г. </w:t>
      </w:r>
      <w:r>
        <w:rPr>
          <w:rFonts w:ascii="XO Thames" w:hAnsi="XO Thames"/>
          <w:sz w:val="28"/>
        </w:rPr>
        <w:t xml:space="preserve">по 01 января 2024 г. </w:t>
      </w:r>
      <w:r>
        <w:rPr>
          <w:rFonts w:ascii="XO Thames" w:hAnsi="XO Thames"/>
          <w:sz w:val="28"/>
        </w:rPr>
        <w:t xml:space="preserve"> </w:t>
      </w:r>
      <w:r>
        <w:rPr>
          <w:rFonts w:ascii="XO Thames" w:hAnsi="XO Thames"/>
          <w:sz w:val="28"/>
        </w:rPr>
        <w:t>включительно.</w:t>
      </w:r>
      <w:r>
        <w:rPr>
          <w:rFonts w:ascii="XO Thames" w:hAnsi="XO Thames"/>
          <w:sz w:val="28"/>
        </w:rPr>
        <w:t xml:space="preserve"> </w:t>
      </w:r>
    </w:p>
    <w:p w14:paraId="5B000000">
      <w:pPr>
        <w:spacing w:after="0" w:line="276" w:lineRule="auto"/>
        <w:ind w:firstLine="708" w:lef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За указанный период замечаний и предложений от заинтересованных организаций и граждан не поступили.  </w:t>
      </w:r>
    </w:p>
    <w:p w14:paraId="5C000000">
      <w:pPr>
        <w:widowControl w:val="0"/>
        <w:tabs>
          <w:tab w:leader="none" w:pos="142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</w:p>
    <w:tbl>
      <w:tblPr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861"/>
        <w:gridCol w:w="3798"/>
        <w:gridCol w:w="2696"/>
      </w:tblGrid>
      <w:tr>
        <w:tc>
          <w:tcPr>
            <w:tcW w:type="dxa" w:w="2861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Министр</w:t>
            </w:r>
          </w:p>
        </w:tc>
        <w:tc>
          <w:tcPr>
            <w:tcW w:type="dxa" w:w="3798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ind/>
              <w:jc w:val="center"/>
              <w:rPr>
                <w:b w:val="1"/>
                <w:sz w:val="28"/>
              </w:rPr>
            </w:pPr>
            <w:r>
              <w:drawing>
                <wp:inline>
                  <wp:extent cx="2201313" cy="943610"/>
                  <wp:effectExtent b="0" l="0" r="0" t="0"/>
                  <wp:docPr hidden="false" id="6" name="Picture 6"/>
                  <a:graphic>
                    <a:graphicData uri="http://schemas.openxmlformats.org/drawingml/2006/picture">
                      <pic:pic>
                        <pic:nvPicPr>
                          <pic:cNvPr hidden="false" id="5" name="Picture 5"/>
                          <pic:cNvPicPr preferRelativeResize="true"/>
                        </pic:nvPicPr>
                        <pic:blipFill>
                          <a:blip r:embed="rId5"/>
                          <a:stretch/>
                        </pic:blipFill>
                        <pic:spPr>
                          <a:xfrm flipH="false" flipV="false" rot="0">
                            <a:ext cx="2201313" cy="94361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696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Е.А. Волкова</w:t>
            </w:r>
          </w:p>
        </w:tc>
      </w:tr>
      <w:tr>
        <w:trPr>
          <w:trHeight w:hRule="atLeast" w:val="633"/>
        </w:trPr>
        <w:tc>
          <w:tcPr>
            <w:tcW w:type="dxa" w:w="9355"/>
            <w:gridSpan w:val="3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60000000">
            <w:pPr>
              <w:keepNext w:val="1"/>
              <w:spacing w:after="0" w:line="240" w:lineRule="auto"/>
              <w:ind/>
              <w:jc w:val="center"/>
              <w:rPr>
                <w:rFonts w:ascii="Times New Roman" w:hAnsi="Times New Roman"/>
                <w:i w:val="1"/>
                <w:sz w:val="20"/>
              </w:rPr>
            </w:pPr>
            <w:r>
              <w:rPr>
                <w:rFonts w:ascii="Times New Roman" w:hAnsi="Times New Roman"/>
                <w:i w:val="1"/>
                <w:sz w:val="20"/>
              </w:rPr>
              <w:t>(Документ создан в электронной форме в Министерстве труда и</w:t>
            </w:r>
          </w:p>
          <w:p w14:paraId="61000000">
            <w:pPr>
              <w:spacing w:after="0" w:line="240" w:lineRule="auto"/>
              <w:ind/>
              <w:jc w:val="center"/>
              <w:rPr>
                <w:b w:val="1"/>
                <w:sz w:val="28"/>
              </w:rPr>
            </w:pPr>
            <w:r>
              <w:rPr>
                <w:rFonts w:ascii="Times New Roman" w:hAnsi="Times New Roman"/>
                <w:i w:val="1"/>
                <w:sz w:val="20"/>
              </w:rPr>
              <w:t>социального развития Республики Саха (Якутия))</w:t>
            </w:r>
          </w:p>
        </w:tc>
      </w:tr>
    </w:tbl>
    <w:p w14:paraId="62000000">
      <w:pPr>
        <w:widowControl w:val="0"/>
        <w:tabs>
          <w:tab w:leader="none" w:pos="142" w:val="left"/>
        </w:tabs>
        <w:spacing w:after="0" w:line="360" w:lineRule="auto"/>
        <w:ind w:firstLine="709" w:left="0"/>
        <w:contextualSpacing w:val="1"/>
        <w:jc w:val="both"/>
        <w:rPr>
          <w:rFonts w:ascii="Times New Roman" w:hAnsi="Times New Roman"/>
          <w:sz w:val="28"/>
        </w:rPr>
      </w:pPr>
    </w:p>
    <w:p w14:paraId="63000000">
      <w:pPr>
        <w:widowControl w:val="0"/>
        <w:tabs>
          <w:tab w:leader="none" w:pos="142" w:val="left"/>
        </w:tabs>
        <w:spacing w:after="0" w:line="36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64000000">
      <w:pPr>
        <w:ind/>
        <w:jc w:val="both"/>
        <w:rPr>
          <w:sz w:val="28"/>
        </w:rPr>
      </w:pPr>
    </w:p>
    <w:sectPr>
      <w:headerReference r:id="rId1" w:type="default"/>
      <w:footerReference r:id="rId2" w:type="default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/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/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2_ch" w:type="character">
    <w:name w:val="Normal"/>
    <w:link w:val="Style_2"/>
    <w:rPr>
      <w:rFonts w:ascii="Times New Roman" w:hAnsi="Times New Roman"/>
      <w:sz w:val="20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2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Balloon Text"/>
    <w:basedOn w:val="Style_2"/>
    <w:link w:val="Style_11_ch"/>
    <w:rPr>
      <w:rFonts w:ascii="Segoe UI" w:hAnsi="Segoe UI"/>
      <w:sz w:val="18"/>
    </w:rPr>
  </w:style>
  <w:style w:styleId="Style_11_ch" w:type="character">
    <w:name w:val="Balloon Text"/>
    <w:basedOn w:val="Style_2_ch"/>
    <w:link w:val="Style_11"/>
    <w:rPr>
      <w:rFonts w:ascii="Segoe UI" w:hAnsi="Segoe UI"/>
      <w:sz w:val="18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Subtitle"/>
    <w:next w:val="Style_2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2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theme/theme1.xml" Type="http://schemas.openxmlformats.org/officeDocument/2006/relationships/theme"/>
  <Relationship Id="rId10" Target="webSettings.xml" Type="http://schemas.openxmlformats.org/officeDocument/2006/relationships/webSettings"/>
  <Relationship Id="rId9" Target="stylesWithEffects.xml" Type="http://schemas.microsoft.com/office/2007/relationships/stylesWithEffects"/>
  <Relationship Id="rId8" Target="styles.xml" Type="http://schemas.openxmlformats.org/officeDocument/2006/relationships/styles"/>
  <Relationship Id="rId7" Target="settings.xml" Type="http://schemas.openxmlformats.org/officeDocument/2006/relationships/settings"/>
  <Relationship Id="rId6" Target="fontTable.xml" Type="http://schemas.openxmlformats.org/officeDocument/2006/relationships/fontTable"/>
  <Relationship Id="rId5" Target="media/3.jpeg" Type="http://schemas.openxmlformats.org/officeDocument/2006/relationships/image"/>
  <Relationship Id="rId4" Target="media/2.jpeg" Type="http://schemas.openxmlformats.org/officeDocument/2006/relationships/image"/>
  <Relationship Id="rId3" Target="media/1.jpeg" Type="http://schemas.openxmlformats.org/officeDocument/2006/relationships/image"/>
  <Relationship Id="rId2" Target="footer2.xml" Type="http://schemas.openxmlformats.org/officeDocument/2006/relationships/footer"/>
  <Relationship Id="rId1" Target="header1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MyOffice-CoreFramework-Linux/26-1013.725.7203.647.3@RELEASE-DESKTOP-YERBA-RC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2023-12-25T00:40:04Z</dcterms:modified>
</cp:coreProperties>
</file>